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65205A" w:rsidRPr="0065205A">
        <w:trPr>
          <w:trHeight w:val="301"/>
          <w:tblCellSpacing w:w="0" w:type="dxa"/>
        </w:trPr>
        <w:tc>
          <w:tcPr>
            <w:tcW w:w="0" w:type="auto"/>
            <w:tcMar>
              <w:top w:w="0" w:type="dxa"/>
              <w:left w:w="107" w:type="dxa"/>
              <w:bottom w:w="0" w:type="dxa"/>
              <w:right w:w="301" w:type="dxa"/>
            </w:tcMar>
            <w:vAlign w:val="center"/>
            <w:hideMark/>
          </w:tcPr>
          <w:p w:rsidR="0065205A" w:rsidRPr="0065205A" w:rsidRDefault="0065205A" w:rsidP="0065205A">
            <w:pPr>
              <w:spacing w:after="0" w:line="240" w:lineRule="auto"/>
              <w:rPr>
                <w:rFonts w:ascii="Arial" w:eastAsia="Times New Roman" w:hAnsi="Arial" w:cs="Arial"/>
                <w:b/>
                <w:bCs/>
                <w:color w:val="1C9CDD"/>
                <w:sz w:val="30"/>
                <w:szCs w:val="30"/>
                <w:lang w:eastAsia="es-PE"/>
              </w:rPr>
            </w:pPr>
            <w:r w:rsidRPr="0065205A">
              <w:rPr>
                <w:rFonts w:ascii="Arial" w:eastAsia="Times New Roman" w:hAnsi="Arial" w:cs="Arial"/>
                <w:b/>
                <w:bCs/>
                <w:color w:val="1C9CDD"/>
                <w:sz w:val="30"/>
                <w:szCs w:val="30"/>
                <w:lang w:eastAsia="es-PE"/>
              </w:rPr>
              <w:t>Colaboración entre docentes para promover el aprendizaje del lenguaje en la primaria</w:t>
            </w:r>
          </w:p>
        </w:tc>
      </w:tr>
      <w:tr w:rsidR="0065205A" w:rsidRPr="0065205A">
        <w:trPr>
          <w:tblCellSpacing w:w="0" w:type="dxa"/>
        </w:trPr>
        <w:tc>
          <w:tcPr>
            <w:tcW w:w="0" w:type="auto"/>
            <w:vAlign w:val="center"/>
            <w:hideMark/>
          </w:tcPr>
          <w:p w:rsidR="0065205A" w:rsidRPr="0065205A" w:rsidRDefault="0065205A" w:rsidP="0065205A">
            <w:pPr>
              <w:spacing w:after="0" w:line="240" w:lineRule="auto"/>
              <w:rPr>
                <w:rFonts w:ascii="Arial" w:eastAsia="Times New Roman" w:hAnsi="Arial" w:cs="Arial"/>
                <w:color w:val="635F59"/>
                <w:sz w:val="24"/>
                <w:szCs w:val="24"/>
                <w:lang w:eastAsia="es-PE"/>
              </w:rPr>
            </w:pPr>
            <w:r w:rsidRPr="0065205A">
              <w:rPr>
                <w:rFonts w:ascii="Arial" w:eastAsia="Times New Roman" w:hAnsi="Arial" w:cs="Arial"/>
                <w:color w:val="635F59"/>
                <w:sz w:val="24"/>
                <w:szCs w:val="24"/>
                <w:lang w:eastAsia="es-PE"/>
              </w:rPr>
              <w:t> </w:t>
            </w:r>
          </w:p>
        </w:tc>
      </w:tr>
      <w:tr w:rsidR="0065205A" w:rsidRPr="0065205A">
        <w:trPr>
          <w:tblCellSpacing w:w="0" w:type="dxa"/>
        </w:trPr>
        <w:tc>
          <w:tcPr>
            <w:tcW w:w="0" w:type="auto"/>
            <w:vAlign w:val="center"/>
            <w:hideMark/>
          </w:tcPr>
          <w:p w:rsidR="0065205A" w:rsidRPr="0065205A" w:rsidRDefault="0065205A" w:rsidP="0065205A">
            <w:pPr>
              <w:spacing w:after="0" w:line="240" w:lineRule="auto"/>
              <w:rPr>
                <w:rFonts w:ascii="Arial" w:eastAsia="Times New Roman" w:hAnsi="Arial" w:cs="Arial"/>
                <w:color w:val="635F59"/>
                <w:sz w:val="24"/>
                <w:szCs w:val="24"/>
                <w:lang w:eastAsia="es-PE"/>
              </w:rPr>
            </w:pPr>
          </w:p>
        </w:tc>
      </w:tr>
      <w:tr w:rsidR="0065205A" w:rsidRPr="0065205A">
        <w:trPr>
          <w:tblCellSpacing w:w="0" w:type="dxa"/>
        </w:trPr>
        <w:tc>
          <w:tcPr>
            <w:tcW w:w="0" w:type="auto"/>
            <w:vAlign w:val="center"/>
            <w:hideMark/>
          </w:tcPr>
          <w:p w:rsidR="0065205A" w:rsidRPr="0065205A" w:rsidRDefault="0065205A" w:rsidP="0065205A">
            <w:pPr>
              <w:spacing w:after="0" w:line="240" w:lineRule="auto"/>
              <w:rPr>
                <w:rFonts w:ascii="Arial" w:eastAsia="Times New Roman" w:hAnsi="Arial" w:cs="Arial"/>
                <w:color w:val="635F59"/>
                <w:sz w:val="24"/>
                <w:szCs w:val="24"/>
                <w:lang w:eastAsia="es-PE"/>
              </w:rPr>
            </w:pPr>
            <w:r w:rsidRPr="0065205A">
              <w:rPr>
                <w:rFonts w:ascii="Arial" w:eastAsia="Times New Roman" w:hAnsi="Arial" w:cs="Arial"/>
                <w:color w:val="635F59"/>
                <w:sz w:val="24"/>
                <w:szCs w:val="24"/>
                <w:lang w:eastAsia="es-PE"/>
              </w:rPr>
              <w:t> </w:t>
            </w:r>
          </w:p>
        </w:tc>
      </w:tr>
      <w:tr w:rsidR="0065205A" w:rsidRPr="0065205A">
        <w:trPr>
          <w:tblCellSpacing w:w="0" w:type="dxa"/>
        </w:trPr>
        <w:tc>
          <w:tcPr>
            <w:tcW w:w="0" w:type="auto"/>
            <w:vAlign w:val="center"/>
            <w:hideMark/>
          </w:tcPr>
          <w:p w:rsidR="0065205A" w:rsidRPr="0065205A" w:rsidRDefault="0065205A" w:rsidP="0065205A">
            <w:pPr>
              <w:spacing w:after="0" w:line="240" w:lineRule="auto"/>
              <w:rPr>
                <w:rFonts w:ascii="Arial" w:eastAsia="Times New Roman" w:hAnsi="Arial" w:cs="Arial"/>
                <w:color w:val="635F59"/>
                <w:sz w:val="24"/>
                <w:szCs w:val="24"/>
                <w:lang w:eastAsia="es-PE"/>
              </w:rPr>
            </w:pPr>
          </w:p>
        </w:tc>
      </w:tr>
      <w:tr w:rsidR="0065205A" w:rsidRPr="0065205A">
        <w:trPr>
          <w:tblCellSpacing w:w="0" w:type="dxa"/>
        </w:trPr>
        <w:tc>
          <w:tcPr>
            <w:tcW w:w="0" w:type="auto"/>
            <w:tcMar>
              <w:top w:w="86" w:type="dxa"/>
              <w:left w:w="107" w:type="dxa"/>
              <w:bottom w:w="0" w:type="dxa"/>
              <w:right w:w="0" w:type="dxa"/>
            </w:tcMar>
            <w:vAlign w:val="center"/>
            <w:hideMark/>
          </w:tcPr>
          <w:p w:rsidR="0065205A" w:rsidRPr="0065205A" w:rsidRDefault="0065205A" w:rsidP="0065205A">
            <w:pPr>
              <w:spacing w:after="0" w:line="240" w:lineRule="auto"/>
              <w:jc w:val="right"/>
              <w:rPr>
                <w:rFonts w:ascii="Arial" w:eastAsia="Times New Roman" w:hAnsi="Arial" w:cs="Arial"/>
                <w:color w:val="635F59"/>
                <w:sz w:val="26"/>
                <w:szCs w:val="26"/>
                <w:lang w:eastAsia="es-PE"/>
              </w:rPr>
            </w:pPr>
            <w:r w:rsidRPr="0065205A">
              <w:rPr>
                <w:rFonts w:ascii="Arial" w:eastAsia="Times New Roman" w:hAnsi="Arial" w:cs="Arial"/>
                <w:color w:val="635F59"/>
                <w:sz w:val="26"/>
                <w:szCs w:val="26"/>
                <w:lang w:eastAsia="es-PE"/>
              </w:rPr>
              <w:t>10 / 2003</w:t>
            </w:r>
          </w:p>
        </w:tc>
      </w:tr>
      <w:tr w:rsidR="0065205A" w:rsidRPr="0065205A">
        <w:trPr>
          <w:tblCellSpacing w:w="0" w:type="dxa"/>
        </w:trPr>
        <w:tc>
          <w:tcPr>
            <w:tcW w:w="0" w:type="auto"/>
            <w:tcMar>
              <w:top w:w="86" w:type="dxa"/>
              <w:left w:w="107" w:type="dxa"/>
              <w:bottom w:w="0" w:type="dxa"/>
              <w:right w:w="0" w:type="dxa"/>
            </w:tcMar>
            <w:vAlign w:val="center"/>
            <w:hideMark/>
          </w:tcPr>
          <w:p w:rsidR="0065205A" w:rsidRPr="0065205A" w:rsidRDefault="0065205A" w:rsidP="0065205A">
            <w:pPr>
              <w:spacing w:after="0" w:line="240" w:lineRule="auto"/>
              <w:rPr>
                <w:rFonts w:ascii="Arial" w:eastAsia="Times New Roman" w:hAnsi="Arial" w:cs="Arial"/>
                <w:color w:val="635F59"/>
                <w:sz w:val="26"/>
                <w:szCs w:val="26"/>
                <w:lang w:eastAsia="es-PE"/>
              </w:rPr>
            </w:pPr>
            <w:r w:rsidRPr="0065205A">
              <w:rPr>
                <w:rFonts w:ascii="Arial" w:eastAsia="Times New Roman" w:hAnsi="Arial" w:cs="Arial"/>
                <w:i/>
                <w:iCs/>
                <w:color w:val="635F59"/>
                <w:sz w:val="26"/>
                <w:szCs w:val="26"/>
                <w:lang w:eastAsia="es-PE"/>
              </w:rPr>
              <w:t>Jiménez Carmen Alicia y Jiménez Estela</w:t>
            </w:r>
            <w:r w:rsidRPr="0065205A">
              <w:rPr>
                <w:rFonts w:ascii="Arial" w:eastAsia="Times New Roman" w:hAnsi="Arial" w:cs="Arial"/>
                <w:i/>
                <w:iCs/>
                <w:color w:val="635F59"/>
                <w:sz w:val="26"/>
                <w:szCs w:val="26"/>
                <w:lang w:eastAsia="es-PE"/>
              </w:rPr>
              <w:br/>
              <w:t>Facultad de Psicología, UNAM, México</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r>
            <w:r w:rsidRPr="0065205A">
              <w:rPr>
                <w:rFonts w:ascii="Arial" w:eastAsia="Times New Roman" w:hAnsi="Arial" w:cs="Arial"/>
                <w:b/>
                <w:bCs/>
                <w:color w:val="635F59"/>
                <w:sz w:val="26"/>
                <w:szCs w:val="26"/>
                <w:lang w:eastAsia="es-PE"/>
              </w:rPr>
              <w:t>Introducción</w:t>
            </w:r>
            <w:r w:rsidRPr="0065205A">
              <w:rPr>
                <w:rFonts w:ascii="Arial" w:eastAsia="Times New Roman" w:hAnsi="Arial" w:cs="Arial"/>
                <w:color w:val="635F59"/>
                <w:sz w:val="26"/>
                <w:szCs w:val="26"/>
                <w:lang w:eastAsia="es-PE"/>
              </w:rPr>
              <w:br/>
              <w:t>A partir de la reflexión sobre la enseñanza del lenguaje en la escuela primaria - específicamente de la lectura, escritura y expresión oral-, los autores de este artículo describiremos nuestra experiencia de trabajo en colaboración, la cual nos permitió definir algunas estrategias y actividades para ser desarrolladas en las aulas, en beneficio de toda la comunidad educativa y en particular de nuestros alumnos.</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Uno de los principales objetivos de la educación primaria es desarrollar en los niños la capacidad de comunicación para que tengan la oportunidad de expresarse con claridad y coherencia, logrando una mejor integración a su comunidad al enfrentar con éxito sus problemas cotidianos. Estando conscientes de la trascendencia de este objetivo, nos reunimos para reflexionar sobre los diversos problemas que se viven en el aula con respecto a la enseñanza del lenguaje y partiendo de ello, acordar algunas medidas para apoyar el aprendizaje de nuestros alumnos.</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Se describe el trabajo efectuado a lo largo del ciclo escolar 2002-2003, en donde todo el personal docente de la escuela: maestros de grupo, maestra de USAER (Unidad de Servicios de Apoyo a la Educación Regular), director y el equipo de psicólogas de la UNAM, trabajamos reflexionando y acordando para promover el lenguaje funcional.</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 xml:space="preserve">Es así que se describe la experiencia vivida a lo largo </w:t>
            </w:r>
            <w:r w:rsidRPr="0065205A">
              <w:rPr>
                <w:rFonts w:ascii="Arial" w:eastAsia="Times New Roman" w:hAnsi="Arial" w:cs="Arial"/>
                <w:color w:val="635F59"/>
                <w:sz w:val="26"/>
                <w:szCs w:val="26"/>
                <w:lang w:eastAsia="es-PE"/>
              </w:rPr>
              <w:lastRenderedPageBreak/>
              <w:t xml:space="preserve">de 7 sesiones mensuales de trabajo realizadas dentro de las reuniones del Consejo Técnico en esta institución educativa, en donde prevaleció la reflexión y la valoración conjunta sobre actividades en el área de </w:t>
            </w:r>
            <w:proofErr w:type="gramStart"/>
            <w:r w:rsidRPr="0065205A">
              <w:rPr>
                <w:rFonts w:ascii="Arial" w:eastAsia="Times New Roman" w:hAnsi="Arial" w:cs="Arial"/>
                <w:color w:val="635F59"/>
                <w:sz w:val="26"/>
                <w:szCs w:val="26"/>
                <w:lang w:eastAsia="es-PE"/>
              </w:rPr>
              <w:t>Español</w:t>
            </w:r>
            <w:proofErr w:type="gramEnd"/>
            <w:r w:rsidRPr="0065205A">
              <w:rPr>
                <w:rFonts w:ascii="Arial" w:eastAsia="Times New Roman" w:hAnsi="Arial" w:cs="Arial"/>
                <w:color w:val="635F59"/>
                <w:sz w:val="26"/>
                <w:szCs w:val="26"/>
                <w:lang w:eastAsia="es-PE"/>
              </w:rPr>
              <w:t>.</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Queremos compartir nuestra experiencia con aquellas instituciones educativas interesadas en iniciar procesos de cambio o innovación en la escuela - a través de la reflexión conjunta - sobre algún aspecto del currículum o para resolver una problemática común.</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Exponemos el trabajo en tres secciones: fundamentación, desarrollo y conclusión.</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 xml:space="preserve">En la parte correspondiente a la fundamentación, se anotan de manera general los antecedentes teóricos y metodológicos que contextualizan el modelo de colaboración entre docentes para enriquecer el desempeño de los maestros y por consiguiente de los alumnos, así como la necesidad de abordar la problemática de la enseñanza de la </w:t>
            </w:r>
            <w:proofErr w:type="spellStart"/>
            <w:r w:rsidRPr="0065205A">
              <w:rPr>
                <w:rFonts w:ascii="Arial" w:eastAsia="Times New Roman" w:hAnsi="Arial" w:cs="Arial"/>
                <w:color w:val="635F59"/>
                <w:sz w:val="26"/>
                <w:szCs w:val="26"/>
                <w:lang w:eastAsia="es-PE"/>
              </w:rPr>
              <w:t>lecto</w:t>
            </w:r>
            <w:proofErr w:type="spellEnd"/>
            <w:r w:rsidRPr="0065205A">
              <w:rPr>
                <w:rFonts w:ascii="Arial" w:eastAsia="Times New Roman" w:hAnsi="Arial" w:cs="Arial"/>
                <w:color w:val="635F59"/>
                <w:sz w:val="26"/>
                <w:szCs w:val="26"/>
                <w:lang w:eastAsia="es-PE"/>
              </w:rPr>
              <w:t>-escritura bajo un enfoque funcional e integral.</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En la segunda sección se describen algunas reflexiones individuales y compartidas, así como los acuerdos tomados a lo largo de las sesiones, producto del trabajo colegiado.</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En el tercero y último apartado se presentan las conclusiones del trabajo compartido, que representa un aporte de quienes fuimos protagonistas del trabajo en colaboración, convertido finalmente en una experiencia más, muestra evidente de la dedicación, entrega y compromiso con nuestra Institución y con la tarea educativa.</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r>
            <w:r w:rsidRPr="0065205A">
              <w:rPr>
                <w:rFonts w:ascii="Arial" w:eastAsia="Times New Roman" w:hAnsi="Arial" w:cs="Arial"/>
                <w:b/>
                <w:bCs/>
                <w:color w:val="635F59"/>
                <w:sz w:val="26"/>
                <w:szCs w:val="26"/>
                <w:lang w:eastAsia="es-PE"/>
              </w:rPr>
              <w:t>Fundamentación</w:t>
            </w:r>
            <w:r w:rsidRPr="0065205A">
              <w:rPr>
                <w:rFonts w:ascii="Arial" w:eastAsia="Times New Roman" w:hAnsi="Arial" w:cs="Arial"/>
                <w:color w:val="635F59"/>
                <w:sz w:val="26"/>
                <w:szCs w:val="26"/>
                <w:lang w:eastAsia="es-PE"/>
              </w:rPr>
              <w:br/>
              <w:t xml:space="preserve">La colaboración como alternativa para el cambio en la escuela En nuestro país los fines de la educación han variado de época en época y de postura política e ideológica; por lo tanto, han cambiado de manera </w:t>
            </w:r>
            <w:r w:rsidRPr="0065205A">
              <w:rPr>
                <w:rFonts w:ascii="Arial" w:eastAsia="Times New Roman" w:hAnsi="Arial" w:cs="Arial"/>
                <w:color w:val="635F59"/>
                <w:sz w:val="26"/>
                <w:szCs w:val="26"/>
                <w:lang w:eastAsia="es-PE"/>
              </w:rPr>
              <w:lastRenderedPageBreak/>
              <w:t>radical las propuestas educativas, siguiéndose diversas líneas de trabajo. Es así que la educación a lo largo de su historia, presenta diversos criterios y fines pedagógicos.</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En la actualidad se ha enfatizado la importancia de que la escuela se renueve, que reoriente sus esfuerzos y busque los apoyos necesarios para su transformación. Al respecto, la SEP (1993) recomienda, en diversos documentos, partir de una revisión de la situación particular, de las necesidades, fortalezas y debilidades que se tienen, además de recuperar el conocimiento y la experiencia del docente para potenciar el mejoramiento del proceso de enseñanza-aprendizaje, además de que se busque asistencia técnica externa y capacitación de los integrantes.</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Tal es el caso de los Proyectos Escolares, Planes Anuales, Programas de Actualización y de Escuelas de Calidad, entre otros, donde se busca impulsar un proyecto de desarrollo propio del centro educativo, en el marco de los propósitos educativos nacionales.</w:t>
            </w:r>
            <w:r w:rsidRPr="0065205A">
              <w:rPr>
                <w:rFonts w:ascii="Arial" w:eastAsia="Times New Roman" w:hAnsi="Arial" w:cs="Arial"/>
                <w:color w:val="635F59"/>
                <w:sz w:val="26"/>
                <w:szCs w:val="26"/>
                <w:lang w:eastAsia="es-PE"/>
              </w:rPr>
              <w:br/>
            </w:r>
            <w:r w:rsidRPr="0065205A">
              <w:rPr>
                <w:rFonts w:ascii="Arial" w:eastAsia="Times New Roman" w:hAnsi="Arial" w:cs="Arial"/>
                <w:color w:val="635F59"/>
                <w:sz w:val="26"/>
                <w:szCs w:val="26"/>
                <w:lang w:eastAsia="es-PE"/>
              </w:rPr>
              <w:br/>
              <w:t>De esta forma es que se observa claramente la posibilidad del cambio educativo, articulado con las políticas asociadas al conocimiento valioso, a los procesos, a los fines y a los métodos</w:t>
            </w: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5205A"/>
    <w:rsid w:val="0065205A"/>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2011-07-08T22:41:00Z</dcterms:created>
  <dcterms:modified xsi:type="dcterms:W3CDTF">2011-07-08T22:41:00Z</dcterms:modified>
</cp:coreProperties>
</file>