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C02428" w:rsidRPr="00C02428">
        <w:trPr>
          <w:trHeight w:val="161"/>
          <w:tblCellSpacing w:w="0" w:type="dxa"/>
        </w:trPr>
        <w:tc>
          <w:tcPr>
            <w:tcW w:w="0" w:type="auto"/>
            <w:tcMar>
              <w:top w:w="0" w:type="dxa"/>
              <w:left w:w="58" w:type="dxa"/>
              <w:bottom w:w="0" w:type="dxa"/>
              <w:right w:w="161" w:type="dxa"/>
            </w:tcMar>
            <w:vAlign w:val="center"/>
            <w:hideMark/>
          </w:tcPr>
          <w:p w:rsidR="00C02428" w:rsidRPr="00C02428" w:rsidRDefault="00C02428" w:rsidP="00C02428">
            <w:pPr>
              <w:spacing w:after="0" w:line="240" w:lineRule="auto"/>
              <w:rPr>
                <w:rFonts w:ascii="Arial" w:eastAsia="Times New Roman" w:hAnsi="Arial" w:cs="Arial"/>
                <w:b/>
                <w:bCs/>
                <w:color w:val="635F59"/>
                <w:sz w:val="16"/>
                <w:szCs w:val="16"/>
                <w:lang w:eastAsia="es-PE"/>
              </w:rPr>
            </w:pPr>
            <w:r w:rsidRPr="00C02428">
              <w:rPr>
                <w:rFonts w:ascii="Arial" w:eastAsia="Times New Roman" w:hAnsi="Arial" w:cs="Arial"/>
                <w:b/>
                <w:bCs/>
                <w:color w:val="635F59"/>
                <w:sz w:val="16"/>
                <w:szCs w:val="16"/>
                <w:lang w:eastAsia="es-PE"/>
              </w:rPr>
              <w:t>El liderazgo docente en la construcción de la cultura escolar de calidad. Un desafío de orden superior</w:t>
            </w:r>
          </w:p>
        </w:tc>
      </w:tr>
      <w:tr w:rsidR="00C02428" w:rsidRPr="00C02428">
        <w:trPr>
          <w:tblCellSpacing w:w="0" w:type="dxa"/>
        </w:trPr>
        <w:tc>
          <w:tcPr>
            <w:tcW w:w="0" w:type="auto"/>
            <w:vAlign w:val="center"/>
            <w:hideMark/>
          </w:tcPr>
          <w:p w:rsidR="00C02428" w:rsidRPr="00C02428" w:rsidRDefault="00C02428" w:rsidP="00C02428">
            <w:pPr>
              <w:spacing w:after="0" w:line="240" w:lineRule="auto"/>
              <w:rPr>
                <w:rFonts w:ascii="Arial" w:eastAsia="Times New Roman" w:hAnsi="Arial" w:cs="Arial"/>
                <w:color w:val="635F59"/>
                <w:sz w:val="13"/>
                <w:szCs w:val="13"/>
                <w:lang w:eastAsia="es-PE"/>
              </w:rPr>
            </w:pPr>
            <w:r w:rsidRPr="00C02428">
              <w:rPr>
                <w:rFonts w:ascii="Arial" w:eastAsia="Times New Roman" w:hAnsi="Arial" w:cs="Arial"/>
                <w:color w:val="635F59"/>
                <w:sz w:val="13"/>
                <w:szCs w:val="13"/>
                <w:lang w:eastAsia="es-PE"/>
              </w:rPr>
              <w:t> </w:t>
            </w:r>
          </w:p>
        </w:tc>
      </w:tr>
      <w:tr w:rsidR="00C02428" w:rsidRPr="00C02428">
        <w:trPr>
          <w:tblCellSpacing w:w="0" w:type="dxa"/>
        </w:trPr>
        <w:tc>
          <w:tcPr>
            <w:tcW w:w="0" w:type="auto"/>
            <w:vAlign w:val="center"/>
            <w:hideMark/>
          </w:tcPr>
          <w:p w:rsidR="00C02428" w:rsidRPr="00C02428" w:rsidRDefault="00C02428" w:rsidP="00C02428">
            <w:pPr>
              <w:spacing w:after="0" w:line="240" w:lineRule="auto"/>
              <w:rPr>
                <w:rFonts w:ascii="Arial" w:eastAsia="Times New Roman" w:hAnsi="Arial" w:cs="Arial"/>
                <w:color w:val="635F59"/>
                <w:sz w:val="13"/>
                <w:szCs w:val="13"/>
                <w:lang w:eastAsia="es-PE"/>
              </w:rPr>
            </w:pPr>
          </w:p>
        </w:tc>
      </w:tr>
      <w:tr w:rsidR="00C02428" w:rsidRPr="00C02428">
        <w:trPr>
          <w:tblCellSpacing w:w="0" w:type="dxa"/>
        </w:trPr>
        <w:tc>
          <w:tcPr>
            <w:tcW w:w="0" w:type="auto"/>
            <w:vAlign w:val="center"/>
            <w:hideMark/>
          </w:tcPr>
          <w:p w:rsidR="00C02428" w:rsidRPr="00C02428" w:rsidRDefault="00C02428" w:rsidP="00C02428">
            <w:pPr>
              <w:spacing w:after="0" w:line="240" w:lineRule="auto"/>
              <w:rPr>
                <w:rFonts w:ascii="Arial" w:eastAsia="Times New Roman" w:hAnsi="Arial" w:cs="Arial"/>
                <w:color w:val="635F59"/>
                <w:sz w:val="13"/>
                <w:szCs w:val="13"/>
                <w:lang w:eastAsia="es-PE"/>
              </w:rPr>
            </w:pPr>
            <w:r w:rsidRPr="00C02428">
              <w:rPr>
                <w:rFonts w:ascii="Arial" w:eastAsia="Times New Roman" w:hAnsi="Arial" w:cs="Arial"/>
                <w:color w:val="635F59"/>
                <w:sz w:val="13"/>
                <w:szCs w:val="13"/>
                <w:lang w:eastAsia="es-PE"/>
              </w:rPr>
              <w:t> </w:t>
            </w:r>
          </w:p>
        </w:tc>
      </w:tr>
      <w:tr w:rsidR="00C02428" w:rsidRPr="00C02428">
        <w:trPr>
          <w:tblCellSpacing w:w="0" w:type="dxa"/>
        </w:trPr>
        <w:tc>
          <w:tcPr>
            <w:tcW w:w="0" w:type="auto"/>
            <w:vAlign w:val="center"/>
            <w:hideMark/>
          </w:tcPr>
          <w:p w:rsidR="00C02428" w:rsidRPr="00C02428" w:rsidRDefault="00C02428" w:rsidP="00C02428">
            <w:pPr>
              <w:spacing w:after="0" w:line="240" w:lineRule="auto"/>
              <w:rPr>
                <w:rFonts w:ascii="Arial" w:eastAsia="Times New Roman" w:hAnsi="Arial" w:cs="Arial"/>
                <w:color w:val="635F59"/>
                <w:sz w:val="13"/>
                <w:szCs w:val="13"/>
                <w:lang w:eastAsia="es-PE"/>
              </w:rPr>
            </w:pPr>
          </w:p>
        </w:tc>
      </w:tr>
      <w:tr w:rsidR="00C02428" w:rsidRPr="00C02428">
        <w:trPr>
          <w:tblCellSpacing w:w="0" w:type="dxa"/>
        </w:trPr>
        <w:tc>
          <w:tcPr>
            <w:tcW w:w="0" w:type="auto"/>
            <w:tcMar>
              <w:top w:w="46" w:type="dxa"/>
              <w:left w:w="58" w:type="dxa"/>
              <w:bottom w:w="0" w:type="dxa"/>
              <w:right w:w="0" w:type="dxa"/>
            </w:tcMar>
            <w:vAlign w:val="center"/>
            <w:hideMark/>
          </w:tcPr>
          <w:p w:rsidR="00C02428" w:rsidRPr="00C02428" w:rsidRDefault="00C02428" w:rsidP="00C02428">
            <w:pPr>
              <w:spacing w:after="0" w:line="240" w:lineRule="auto"/>
              <w:jc w:val="right"/>
              <w:rPr>
                <w:rFonts w:ascii="Arial" w:eastAsia="Times New Roman" w:hAnsi="Arial" w:cs="Arial"/>
                <w:color w:val="635F59"/>
                <w:sz w:val="13"/>
                <w:szCs w:val="13"/>
                <w:lang w:eastAsia="es-PE"/>
              </w:rPr>
            </w:pPr>
            <w:r w:rsidRPr="00C02428">
              <w:rPr>
                <w:rFonts w:ascii="Arial" w:eastAsia="Times New Roman" w:hAnsi="Arial" w:cs="Arial"/>
                <w:color w:val="635F59"/>
                <w:sz w:val="13"/>
                <w:szCs w:val="13"/>
                <w:lang w:eastAsia="es-PE"/>
              </w:rPr>
              <w:t>12 / 2006</w:t>
            </w:r>
          </w:p>
        </w:tc>
      </w:tr>
      <w:tr w:rsidR="00C02428" w:rsidRPr="00C02428">
        <w:trPr>
          <w:tblCellSpacing w:w="0" w:type="dxa"/>
        </w:trPr>
        <w:tc>
          <w:tcPr>
            <w:tcW w:w="0" w:type="auto"/>
            <w:tcMar>
              <w:top w:w="46" w:type="dxa"/>
              <w:left w:w="58" w:type="dxa"/>
              <w:bottom w:w="0" w:type="dxa"/>
              <w:right w:w="0" w:type="dxa"/>
            </w:tcMar>
            <w:vAlign w:val="center"/>
            <w:hideMark/>
          </w:tcPr>
          <w:p w:rsidR="00C02428" w:rsidRPr="00C02428" w:rsidRDefault="00C02428" w:rsidP="00C02428">
            <w:pPr>
              <w:spacing w:after="0" w:line="240" w:lineRule="auto"/>
              <w:rPr>
                <w:rFonts w:ascii="Arial" w:eastAsia="Times New Roman" w:hAnsi="Arial" w:cs="Arial"/>
                <w:color w:val="635F59"/>
                <w:sz w:val="13"/>
                <w:szCs w:val="13"/>
                <w:lang w:eastAsia="es-PE"/>
              </w:rPr>
            </w:pPr>
            <w:r w:rsidRPr="00C02428">
              <w:rPr>
                <w:rFonts w:ascii="Arial" w:eastAsia="Times New Roman" w:hAnsi="Arial" w:cs="Arial"/>
                <w:b/>
                <w:bCs/>
                <w:color w:val="635F59"/>
                <w:sz w:val="13"/>
                <w:szCs w:val="13"/>
                <w:lang w:eastAsia="es-PE"/>
              </w:rPr>
              <w:t>Mario Uribe</w:t>
            </w:r>
            <w:r w:rsidRPr="00C02428">
              <w:rPr>
                <w:rFonts w:ascii="Arial" w:eastAsia="Times New Roman" w:hAnsi="Arial" w:cs="Arial"/>
                <w:color w:val="635F59"/>
                <w:sz w:val="13"/>
                <w:szCs w:val="13"/>
                <w:lang w:eastAsia="es-PE"/>
              </w:rPr>
              <w:br/>
              <w:t>Chileno. Académico, miembro programa educación</w:t>
            </w:r>
            <w:r w:rsidRPr="00C02428">
              <w:rPr>
                <w:rFonts w:ascii="Arial" w:eastAsia="Times New Roman" w:hAnsi="Arial" w:cs="Arial"/>
                <w:color w:val="635F59"/>
                <w:sz w:val="13"/>
                <w:szCs w:val="13"/>
                <w:lang w:eastAsia="es-PE"/>
              </w:rPr>
              <w:br/>
              <w:t>área Gestión Escolar de Calidad, Fundación Chile.</w:t>
            </w:r>
            <w:r w:rsidRPr="00C02428">
              <w:rPr>
                <w:rFonts w:ascii="Arial" w:eastAsia="Times New Roman" w:hAnsi="Arial" w:cs="Arial"/>
                <w:color w:val="635F59"/>
                <w:sz w:val="13"/>
                <w:szCs w:val="13"/>
                <w:lang w:eastAsia="es-PE"/>
              </w:rPr>
              <w:br/>
            </w:r>
            <w:r w:rsidRPr="00C02428">
              <w:rPr>
                <w:rFonts w:ascii="Arial" w:eastAsia="Times New Roman" w:hAnsi="Arial" w:cs="Arial"/>
                <w:color w:val="635F59"/>
                <w:sz w:val="13"/>
                <w:szCs w:val="13"/>
                <w:lang w:eastAsia="es-PE"/>
              </w:rPr>
              <w:br/>
            </w:r>
            <w:r w:rsidRPr="00C02428">
              <w:rPr>
                <w:rFonts w:ascii="Arial" w:eastAsia="Times New Roman" w:hAnsi="Arial" w:cs="Arial"/>
                <w:b/>
                <w:bCs/>
                <w:color w:val="635F59"/>
                <w:sz w:val="13"/>
                <w:szCs w:val="13"/>
                <w:lang w:eastAsia="es-PE"/>
              </w:rPr>
              <w:t>Contexto</w:t>
            </w:r>
            <w:r w:rsidRPr="00C02428">
              <w:rPr>
                <w:rFonts w:ascii="Arial" w:eastAsia="Times New Roman" w:hAnsi="Arial" w:cs="Arial"/>
                <w:color w:val="635F59"/>
                <w:sz w:val="13"/>
                <w:szCs w:val="13"/>
                <w:lang w:eastAsia="es-PE"/>
              </w:rPr>
              <w:br/>
              <w:t>La Reforma Educacional emprendida en la mayoría de los países de América Latina desde principio de los años noventa se constituyó como una de las prioridades de la agenda política de los países que se comprometieron con ella. Mejorar la equidad y proveer una educación sensible a las diferencias que discrimine en favor de los más pobres y vulnerables; mejorar la calidad de la enseñanza, aumentar las exigencias y</w:t>
            </w:r>
            <w:r w:rsidRPr="00C02428">
              <w:rPr>
                <w:rFonts w:ascii="Arial" w:eastAsia="Times New Roman" w:hAnsi="Arial" w:cs="Arial"/>
                <w:color w:val="635F59"/>
                <w:sz w:val="13"/>
                <w:szCs w:val="13"/>
                <w:lang w:eastAsia="es-PE"/>
              </w:rPr>
              <w:br/>
              <w:t>focalizar la atención en los resultados del aprendizaje; profesionalizar el trabajo docente; descentralizar y reorganizar la gestión educativa y ofrecer más autonomía a las escuelas; fortalecer la institución escolar para ofrecer mejor capacidad de operación y mayor responsabilidad por sus resultados, fueron las líneas fundamentales que con distinto énfasis pusieron en marcha los gobiernos de la región.</w:t>
            </w:r>
            <w:r w:rsidRPr="00C02428">
              <w:rPr>
                <w:rFonts w:ascii="Arial" w:eastAsia="Times New Roman" w:hAnsi="Arial" w:cs="Arial"/>
                <w:color w:val="635F59"/>
                <w:sz w:val="13"/>
                <w:szCs w:val="13"/>
                <w:lang w:eastAsia="es-PE"/>
              </w:rPr>
              <w:br/>
            </w:r>
            <w:r w:rsidRPr="00C02428">
              <w:rPr>
                <w:rFonts w:ascii="Arial" w:eastAsia="Times New Roman" w:hAnsi="Arial" w:cs="Arial"/>
                <w:color w:val="635F59"/>
                <w:sz w:val="13"/>
                <w:szCs w:val="13"/>
                <w:lang w:eastAsia="es-PE"/>
              </w:rPr>
              <w:br/>
            </w:r>
            <w:r w:rsidRPr="00C02428">
              <w:rPr>
                <w:rFonts w:ascii="Arial" w:eastAsia="Times New Roman" w:hAnsi="Arial" w:cs="Arial"/>
                <w:color w:val="635F59"/>
                <w:sz w:val="13"/>
                <w:szCs w:val="13"/>
                <w:lang w:eastAsia="es-PE"/>
              </w:rPr>
              <w:br/>
              <w:t>Dos ejes de esta reforma interesa destacar: aquel relacionado a los temas de dirección de instituciones educacionales y los que abordan cuestiones de perfeccionamiento docente.</w:t>
            </w:r>
            <w:r w:rsidRPr="00C02428">
              <w:rPr>
                <w:rFonts w:ascii="Arial" w:eastAsia="Times New Roman" w:hAnsi="Arial" w:cs="Arial"/>
                <w:color w:val="635F59"/>
                <w:sz w:val="13"/>
                <w:szCs w:val="13"/>
                <w:lang w:eastAsia="es-PE"/>
              </w:rPr>
              <w:br/>
            </w:r>
            <w:r w:rsidRPr="00C02428">
              <w:rPr>
                <w:rFonts w:ascii="Arial" w:eastAsia="Times New Roman" w:hAnsi="Arial" w:cs="Arial"/>
                <w:color w:val="635F59"/>
                <w:sz w:val="13"/>
                <w:szCs w:val="13"/>
                <w:lang w:eastAsia="es-PE"/>
              </w:rPr>
              <w:br/>
              <w:t>El primero ha implicado desarrollar líneas de trabajo relacionadas al fortalecimiento de las capacidades de gestión y evaluación de resultados. El segundo fomenta el desarrollo profesional de los docentes y las políticas de incentivos. También en estos años se han incorporado al vocabulario habitual de los directivos conceptos como el de rendición de cuentas (</w:t>
            </w:r>
            <w:proofErr w:type="spellStart"/>
            <w:r w:rsidRPr="00C02428">
              <w:rPr>
                <w:rFonts w:ascii="Arial" w:eastAsia="Times New Roman" w:hAnsi="Arial" w:cs="Arial"/>
                <w:color w:val="635F59"/>
                <w:sz w:val="13"/>
                <w:szCs w:val="13"/>
                <w:lang w:eastAsia="es-PE"/>
              </w:rPr>
              <w:t>accountability</w:t>
            </w:r>
            <w:proofErr w:type="spellEnd"/>
            <w:r w:rsidRPr="00C02428">
              <w:rPr>
                <w:rFonts w:ascii="Arial" w:eastAsia="Times New Roman" w:hAnsi="Arial" w:cs="Arial"/>
                <w:color w:val="635F59"/>
                <w:sz w:val="13"/>
                <w:szCs w:val="13"/>
                <w:lang w:eastAsia="es-PE"/>
              </w:rPr>
              <w:t>) y liderazgo directivo.</w:t>
            </w:r>
            <w:r w:rsidRPr="00C02428">
              <w:rPr>
                <w:rFonts w:ascii="Arial" w:eastAsia="Times New Roman" w:hAnsi="Arial" w:cs="Arial"/>
                <w:color w:val="635F59"/>
                <w:sz w:val="13"/>
                <w:szCs w:val="13"/>
                <w:lang w:eastAsia="es-PE"/>
              </w:rPr>
              <w:br/>
              <w:t xml:space="preserve">Estando a más de una década del inicio de la reforma, sabemos que su implementación no fue homogénea y sus resultados han sido muy distintos en cada país. </w:t>
            </w:r>
            <w:r w:rsidRPr="00C02428">
              <w:rPr>
                <w:rFonts w:ascii="Arial" w:eastAsia="Times New Roman" w:hAnsi="Arial" w:cs="Arial"/>
                <w:color w:val="635F59"/>
                <w:sz w:val="13"/>
                <w:szCs w:val="13"/>
                <w:lang w:eastAsia="es-PE"/>
              </w:rPr>
              <w:br/>
            </w:r>
            <w:r w:rsidRPr="00C02428">
              <w:rPr>
                <w:rFonts w:ascii="Arial" w:eastAsia="Times New Roman" w:hAnsi="Arial" w:cs="Arial"/>
                <w:color w:val="635F59"/>
                <w:sz w:val="13"/>
                <w:szCs w:val="13"/>
                <w:lang w:eastAsia="es-PE"/>
              </w:rPr>
              <w:br/>
              <w:t xml:space="preserve">Entre los factores relevantes a considerar en un primer análisis comparado está el nivel de compromiso de los gobiernos, las situaciones de estabilidad </w:t>
            </w:r>
            <w:proofErr w:type="spellStart"/>
            <w:r w:rsidRPr="00C02428">
              <w:rPr>
                <w:rFonts w:ascii="Arial" w:eastAsia="Times New Roman" w:hAnsi="Arial" w:cs="Arial"/>
                <w:color w:val="635F59"/>
                <w:sz w:val="13"/>
                <w:szCs w:val="13"/>
                <w:lang w:eastAsia="es-PE"/>
              </w:rPr>
              <w:t>políticoinstitucional</w:t>
            </w:r>
            <w:proofErr w:type="spellEnd"/>
            <w:r w:rsidRPr="00C02428">
              <w:rPr>
                <w:rFonts w:ascii="Arial" w:eastAsia="Times New Roman" w:hAnsi="Arial" w:cs="Arial"/>
                <w:color w:val="635F59"/>
                <w:sz w:val="13"/>
                <w:szCs w:val="13"/>
                <w:lang w:eastAsia="es-PE"/>
              </w:rPr>
              <w:t xml:space="preserve"> o bien el nivel de involucramiento de los actores (</w:t>
            </w:r>
            <w:proofErr w:type="spellStart"/>
            <w:r w:rsidRPr="00C02428">
              <w:rPr>
                <w:rFonts w:ascii="Arial" w:eastAsia="Times New Roman" w:hAnsi="Arial" w:cs="Arial"/>
                <w:color w:val="635F59"/>
                <w:sz w:val="13"/>
                <w:szCs w:val="13"/>
                <w:lang w:eastAsia="es-PE"/>
              </w:rPr>
              <w:t>stakeholders</w:t>
            </w:r>
            <w:proofErr w:type="spellEnd"/>
            <w:r w:rsidRPr="00C02428">
              <w:rPr>
                <w:rFonts w:ascii="Arial" w:eastAsia="Times New Roman" w:hAnsi="Arial" w:cs="Arial"/>
                <w:color w:val="635F59"/>
                <w:sz w:val="13"/>
                <w:szCs w:val="13"/>
                <w:lang w:eastAsia="es-PE"/>
              </w:rPr>
              <w:t>) 2; entre ellos, uno de estratégica importancia para el éxito de cualquier reforma: los maestros. Su participación en las definiciones fundamentales de la reforma en general ha sido marginal, de bajo impacto y reactiva en muchos casos, esto porque, en la mayoría de las experiencias, la reforma de los noventa se abordó desde una perspectiva más bien institucional, donde se modificaron aspectos relativos a la legislación, los contenidos y metodologías, el modelo de financiamiento, la gestión y administración de los sistemas educativos. La consecuencia de ello es que muchos</w:t>
            </w:r>
            <w:r w:rsidRPr="00C02428">
              <w:rPr>
                <w:rFonts w:ascii="Arial" w:eastAsia="Times New Roman" w:hAnsi="Arial" w:cs="Arial"/>
                <w:color w:val="635F59"/>
                <w:sz w:val="13"/>
                <w:szCs w:val="13"/>
                <w:lang w:eastAsia="es-PE"/>
              </w:rPr>
              <w:br/>
              <w:t>de estos cambios no lograron modificar las prácticas tradicionales como se planificó y “siguieron obedeciendo a viejos modelos incorporados en la cultura y subjetividad de los docentes”.</w:t>
            </w:r>
            <w:r w:rsidRPr="00C02428">
              <w:rPr>
                <w:rFonts w:ascii="Arial" w:eastAsia="Times New Roman" w:hAnsi="Arial" w:cs="Arial"/>
                <w:color w:val="635F59"/>
                <w:sz w:val="13"/>
                <w:szCs w:val="13"/>
                <w:lang w:eastAsia="es-PE"/>
              </w:rPr>
              <w:br/>
            </w:r>
            <w:r w:rsidRPr="00C02428">
              <w:rPr>
                <w:rFonts w:ascii="Arial" w:eastAsia="Times New Roman" w:hAnsi="Arial" w:cs="Arial"/>
                <w:color w:val="635F59"/>
                <w:sz w:val="13"/>
                <w:szCs w:val="13"/>
                <w:lang w:eastAsia="es-PE"/>
              </w:rPr>
              <w:br/>
              <w:t xml:space="preserve">En este marco y reconociendo la disparidad de entornos que rodean a la escuela latinoamericana, el artículo presenta una selección de referencias bibliográficas fundamentales, que pretenden orientar en los conceptos claves a través de los cuales sea posible reconocer los aspectos o ámbitos que posibilitan el desarrollo del liderazgo de los docentes. Esto es, generar las condiciones para lograr un ambiente de trabajo que promueva una cultura de participación efectiva de los profesores para el logro y mejora de su propio quehacer y de los objetivos declarados en el proyecto educativo de la institución escolar. </w:t>
            </w:r>
          </w:p>
        </w:tc>
      </w:tr>
      <w:tr w:rsidR="00C02428" w:rsidRPr="00C02428">
        <w:trPr>
          <w:tblCellSpacing w:w="0" w:type="dxa"/>
        </w:trPr>
        <w:tc>
          <w:tcPr>
            <w:tcW w:w="0" w:type="auto"/>
            <w:vAlign w:val="center"/>
            <w:hideMark/>
          </w:tcPr>
          <w:p w:rsidR="00C02428" w:rsidRPr="00C02428" w:rsidRDefault="00C02428" w:rsidP="00C02428">
            <w:pPr>
              <w:spacing w:after="0" w:line="240" w:lineRule="auto"/>
              <w:rPr>
                <w:rFonts w:ascii="Arial" w:eastAsia="Times New Roman" w:hAnsi="Arial" w:cs="Arial"/>
                <w:color w:val="635F59"/>
                <w:sz w:val="13"/>
                <w:szCs w:val="13"/>
                <w:lang w:eastAsia="es-PE"/>
              </w:rPr>
            </w:pPr>
          </w:p>
        </w:tc>
      </w:tr>
    </w:tbl>
    <w:p w:rsidR="00D167EE" w:rsidRDefault="00D167EE"/>
    <w:sectPr w:rsidR="00D167EE" w:rsidSect="00D167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02428"/>
    <w:rsid w:val="00C02428"/>
    <w:rsid w:val="00D167E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2902</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2011-07-14T07:39:00Z</dcterms:created>
  <dcterms:modified xsi:type="dcterms:W3CDTF">2011-07-14T07:39:00Z</dcterms:modified>
</cp:coreProperties>
</file>